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Times New Roman" w:hAnsi="Times New Roman" w:cs="Times New Roman" w:eastAsiaTheme="minorEastAsia"/>
          <w:kern w:val="0"/>
          <w:sz w:val="22"/>
          <w:szCs w:val="24"/>
        </w:rPr>
      </w:pPr>
      <w:r>
        <w:rPr>
          <w:rFonts w:hint="eastAsia" w:ascii="Times New Roman" w:hAnsi="Times New Roman" w:cs="Times New Roman" w:eastAsiaTheme="minorEastAsia"/>
          <w:kern w:val="0"/>
          <w:sz w:val="22"/>
          <w:szCs w:val="24"/>
        </w:rPr>
        <w:t>AK112和AK104联合或不联合化疗在晚期非小细胞肺癌中的Ib/II期临床研究</w:t>
      </w:r>
    </w:p>
    <w:p>
      <w:pPr>
        <w:pStyle w:val="7"/>
        <w:rPr>
          <w:rFonts w:ascii="Times New Roman" w:hAnsi="Times New Roman" w:cs="Times New Roman" w:eastAsiaTheme="minorEastAsia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shd w:val="clear" w:color="auto" w:fill="FFFFFF"/>
        </w:rPr>
        <w:t>受试者</w:t>
      </w:r>
      <w:r>
        <w:rPr>
          <w:rFonts w:hint="eastAsia" w:ascii="Times New Roman" w:hAnsi="Times New Roman" w:cs="Times New Roman"/>
          <w:sz w:val="22"/>
          <w:szCs w:val="24"/>
          <w:shd w:val="clear" w:color="auto" w:fill="FFFFFF"/>
        </w:rPr>
        <w:t>招募</w:t>
      </w:r>
    </w:p>
    <w:p>
      <w:pPr>
        <w:rPr>
          <w:sz w:val="24"/>
          <w:szCs w:val="24"/>
        </w:rPr>
      </w:pPr>
    </w:p>
    <w:p>
      <w:pPr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u w:val="single"/>
          <w:shd w:val="clear" w:color="auto" w:fill="FFFFFF"/>
          <w:lang w:val="en-US" w:eastAsia="zh-CN"/>
        </w:rPr>
        <w:t>云南省肿瘤医院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现</w:t>
      </w:r>
      <w:r>
        <w:rPr>
          <w:rFonts w:hint="eastAsia" w:ascii="Arial" w:hAnsi="Arial" w:cs="Arial"/>
          <w:color w:val="auto"/>
          <w:szCs w:val="21"/>
          <w:shd w:val="clear" w:color="auto" w:fill="FFFFFF"/>
          <w:lang w:val="en-US" w:eastAsia="zh-CN"/>
        </w:rPr>
        <w:t>在正在</w:t>
      </w:r>
      <w:r>
        <w:rPr>
          <w:rFonts w:hint="eastAsia" w:ascii="Times New Roman" w:hAnsi="Times New Roman" w:cs="Times New Roman"/>
          <w:color w:val="auto"/>
          <w:szCs w:val="21"/>
        </w:rPr>
        <w:t>开</w:t>
      </w:r>
      <w:r>
        <w:rPr>
          <w:rFonts w:hint="eastAsia" w:ascii="Times New Roman" w:hAnsi="Times New Roman" w:cs="Times New Roman"/>
          <w:szCs w:val="21"/>
        </w:rPr>
        <w:t>展</w:t>
      </w:r>
      <w:r>
        <w:rPr>
          <w:rFonts w:hint="eastAsia" w:ascii="Times New Roman" w:hAnsi="Times New Roman" w:cs="Times New Roman"/>
          <w:szCs w:val="21"/>
          <w:lang w:val="en-US" w:eastAsia="zh-CN"/>
        </w:rPr>
        <w:t>一项</w:t>
      </w:r>
      <w:r>
        <w:rPr>
          <w:rFonts w:hint="eastAsia" w:ascii="Times New Roman" w:hAnsi="Times New Roman" w:cs="Times New Roman"/>
          <w:szCs w:val="21"/>
        </w:rPr>
        <w:t xml:space="preserve"> “AK112和AK104联合或不联合化疗在晚期非小细胞肺癌中的Ib/II期临床研究”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。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本研究已获得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国家药品监督管理局的批准（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通知书编号为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：2021LP02157、2021LP02159）</w:t>
      </w:r>
      <w:r>
        <w:rPr>
          <w:rFonts w:hint="eastAsia" w:ascii="Times New Roman" w:hAnsi="Times New Roman" w:cs="Times New Roman"/>
          <w:szCs w:val="21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并经</w:t>
      </w:r>
      <w:r>
        <w:rPr>
          <w:rFonts w:ascii="Segoe UI" w:hAnsi="Segoe UI" w:cs="Segoe UI"/>
          <w:color w:val="000000"/>
        </w:rPr>
        <w:t>本研究中心伦理委员会</w:t>
      </w:r>
      <w:r>
        <w:rPr>
          <w:rFonts w:hint="eastAsia" w:ascii="Segoe UI" w:hAnsi="Segoe UI" w:cs="Segoe UI"/>
          <w:color w:val="000000"/>
          <w:lang w:val="en-US" w:eastAsia="zh-CN"/>
        </w:rPr>
        <w:t>审批同意</w:t>
      </w:r>
      <w:r>
        <w:rPr>
          <w:rFonts w:hint="eastAsia" w:ascii="Segoe UI" w:hAnsi="Segoe UI" w:cs="Segoe UI"/>
          <w:color w:val="000000"/>
        </w:rPr>
        <w:t>。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 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Cs w:val="21"/>
          <w:shd w:val="clear" w:color="auto" w:fill="FFFFFF"/>
          <w:lang w:val="en-US" w:eastAsia="zh-CN"/>
        </w:rPr>
        <w:t>目前，针对PD-1/L1、CTLA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en-US" w:eastAsia="zh-CN"/>
        </w:rPr>
        <w:t>4和VEGF三个靶点，均有相关药物获批用于一线治疗晚期</w:t>
      </w:r>
      <w:r>
        <w:rPr>
          <w:rFonts w:hint="eastAsia" w:ascii="Times New Roman" w:hAnsi="Times New Roman" w:cs="Times New Roman" w:eastAsiaTheme="minorEastAsia"/>
          <w:kern w:val="0"/>
          <w:sz w:val="22"/>
          <w:szCs w:val="24"/>
        </w:rPr>
        <w:t>非小细胞肺癌</w:t>
      </w:r>
      <w:r>
        <w:rPr>
          <w:rFonts w:hint="eastAsia" w:ascii="Times New Roman" w:hAnsi="Times New Roman" w:cs="Times New Roman"/>
          <w:kern w:val="0"/>
          <w:sz w:val="22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2"/>
          <w:szCs w:val="24"/>
          <w:lang w:val="en-US" w:eastAsia="zh-CN"/>
        </w:rPr>
        <w:t>NSCLC</w:t>
      </w:r>
      <w:r>
        <w:rPr>
          <w:rFonts w:hint="eastAsia" w:ascii="Times New Roman" w:hAnsi="Times New Roman" w:cs="Times New Roman"/>
          <w:kern w:val="0"/>
          <w:sz w:val="22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en-US" w:eastAsia="zh-CN"/>
        </w:rPr>
        <w:t>，证实了这些靶点对于治疗晚期</w:t>
      </w:r>
      <w:r>
        <w:rPr>
          <w:rFonts w:hint="eastAsia" w:ascii="Times New Roman" w:hAnsi="Times New Roman" w:cs="Times New Roman"/>
          <w:kern w:val="0"/>
          <w:sz w:val="22"/>
          <w:szCs w:val="24"/>
          <w:lang w:val="en-US" w:eastAsia="zh-CN"/>
        </w:rPr>
        <w:t>NSCLC</w:t>
      </w:r>
      <w:r>
        <w:rPr>
          <w:rFonts w:hint="default" w:ascii="Times New Roman" w:hAnsi="Times New Roman" w:cs="Times New Roman"/>
          <w:szCs w:val="21"/>
          <w:shd w:val="clear" w:color="auto" w:fill="FFFFFF"/>
          <w:lang w:val="en-US" w:eastAsia="zh-CN"/>
        </w:rPr>
        <w:t>的有效性。</w:t>
      </w:r>
    </w:p>
    <w:p>
      <w:pPr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zCs w:val="21"/>
          <w:shd w:val="clear" w:color="auto" w:fill="FFFFFF"/>
        </w:rPr>
        <w:t>研究药物AK112注射液是申办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方康方赛诺医药有限公司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研发的一种同时靶向PD-1和VEGF的双特异性抗体</w:t>
      </w:r>
      <w:r>
        <w:rPr>
          <w:rFonts w:hint="eastAsia" w:ascii="Times New Roman" w:hAnsi="Times New Roman" w:cs="Times New Roman"/>
          <w:szCs w:val="21"/>
          <w:shd w:val="clear" w:color="auto" w:fill="FFFFFF"/>
          <w:lang w:eastAsia="zh-CN"/>
        </w:rPr>
        <w:t>；AK104注射液是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申办方</w:t>
      </w:r>
      <w:r>
        <w:rPr>
          <w:rFonts w:hint="eastAsia" w:ascii="Times New Roman" w:hAnsi="Times New Roman" w:cs="Times New Roman"/>
          <w:szCs w:val="21"/>
          <w:shd w:val="clear" w:color="auto" w:fill="FFFFFF"/>
          <w:lang w:eastAsia="zh-CN"/>
        </w:rPr>
        <w:t>研发的一种同时靶向PD-1和CTLA-4的双特异性抗体。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为了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评价AK112和AK104联合或不联合化疗治疗晚期NSCLC的安全性和有效性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，因此开展本临床试验。本研究在全国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数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家中心开展，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共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计划</w:t>
      </w:r>
      <w:r>
        <w:rPr>
          <w:rFonts w:ascii="Times New Roman" w:hAnsi="Times New Roman" w:cs="Times New Roman"/>
          <w:szCs w:val="21"/>
          <w:shd w:val="clear" w:color="auto" w:fill="FFFFFF"/>
        </w:rPr>
        <w:t>招募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约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233</w:t>
      </w:r>
      <w:r>
        <w:rPr>
          <w:rFonts w:ascii="Times New Roman" w:hAnsi="Times New Roman" w:cs="Times New Roman"/>
          <w:szCs w:val="21"/>
          <w:shd w:val="clear" w:color="auto" w:fill="FFFFFF"/>
        </w:rPr>
        <w:t>例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符合研究要求的受试者。如您有意愿，且符合以下条件，您可与我科室进行联系。</w:t>
      </w:r>
    </w:p>
    <w:p>
      <w:pPr>
        <w:pStyle w:val="6"/>
        <w:spacing w:before="0" w:beforeAutospacing="0" w:after="0" w:afterAutospacing="0"/>
        <w:ind w:firstLine="411" w:firstLineChars="196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Style w:val="11"/>
          <w:rFonts w:hint="eastAsia" w:asciiTheme="minorEastAsia" w:hAnsiTheme="minorEastAsia" w:eastAsiaTheme="minorEastAsia"/>
          <w:b w:val="0"/>
          <w:sz w:val="21"/>
          <w:szCs w:val="21"/>
        </w:rPr>
        <w:t>基本</w:t>
      </w:r>
      <w:r>
        <w:rPr>
          <w:rStyle w:val="11"/>
          <w:rFonts w:asciiTheme="minorEastAsia" w:hAnsiTheme="minorEastAsia" w:eastAsiaTheme="minorEastAsia"/>
          <w:b w:val="0"/>
          <w:sz w:val="21"/>
          <w:szCs w:val="21"/>
        </w:rPr>
        <w:t>入选</w:t>
      </w:r>
      <w:r>
        <w:rPr>
          <w:rStyle w:val="11"/>
          <w:rFonts w:hint="eastAsia" w:asciiTheme="minorEastAsia" w:hAnsiTheme="minorEastAsia" w:eastAsiaTheme="minorEastAsia"/>
          <w:b w:val="0"/>
          <w:sz w:val="21"/>
          <w:szCs w:val="21"/>
        </w:rPr>
        <w:t>条件</w:t>
      </w:r>
      <w:r>
        <w:rPr>
          <w:rStyle w:val="1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有</w:t>
      </w:r>
      <w:r>
        <w:rPr>
          <w:rStyle w:val="1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自愿签署书面知情同意书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；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入组时年龄≥18周岁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，≤75周岁，</w:t>
      </w:r>
      <w:r>
        <w:rPr>
          <w:rFonts w:hint="eastAsia" w:ascii="Times New Roman" w:hAnsi="Times New Roman" w:cs="Times New Roman"/>
          <w:sz w:val="21"/>
          <w:szCs w:val="21"/>
        </w:rPr>
        <w:t>男女均可；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ECOG体能状况评分为0或1；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组织学或细胞学证实的，不能行手术完全切除且不能接受根治性同步/序贯放化疗的局部晚期（ⅢB/ⅢC期）或转移性（IV期）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非小细胞肺癌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；</w:t>
      </w:r>
    </w:p>
    <w:p>
      <w:pPr>
        <w:pStyle w:val="17"/>
        <w:numPr>
          <w:ilvl w:val="0"/>
          <w:numId w:val="1"/>
        </w:numPr>
        <w:spacing w:line="240" w:lineRule="auto"/>
        <w:ind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Cs w:val="21"/>
        </w:rPr>
        <w:t>无EGFR敏感突变或ALK基因易位改变</w:t>
      </w:r>
      <w:r>
        <w:rPr>
          <w:rFonts w:hint="eastAsia" w:ascii="Times New Roman" w:hAnsi="Times New Roman" w:cs="Times New Roman"/>
          <w:kern w:val="0"/>
          <w:szCs w:val="21"/>
          <w:lang w:eastAsia="zh-CN"/>
        </w:rPr>
        <w:t>；</w:t>
      </w:r>
    </w:p>
    <w:p>
      <w:pPr>
        <w:pStyle w:val="17"/>
        <w:numPr>
          <w:ilvl w:val="0"/>
          <w:numId w:val="1"/>
        </w:numPr>
        <w:ind w:firstLineChars="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Ib期研究部分和II期研究部分的队列1、队列2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入组的受试者为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既往未接受过针对局部晚期或转移性NSCLC的全身系统性抗肿瘤治疗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726" w:leftChars="0"/>
        <w:jc w:val="both"/>
        <w:textAlignment w:val="auto"/>
        <w:rPr>
          <w:rFonts w:hint="eastAsia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</w:rPr>
        <w:t>II期研究部分的队列3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入组的受试者为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：既往针对局部晚期或转移性NSCLC接受过系统性含铂化疗和PD-1/L1抑制剂治疗且治疗失败（影像学进展）</w:t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/>
        <w:ind w:left="726" w:hanging="363"/>
        <w:textAlignment w:val="auto"/>
        <w:rPr>
          <w:rFonts w:hint="eastAsia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必须提供诊断为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局部</w:t>
      </w:r>
      <w:r>
        <w:rPr>
          <w:rFonts w:hint="eastAsia" w:ascii="Times New Roman" w:hAnsi="Times New Roman" w:cs="Times New Roman"/>
          <w:sz w:val="21"/>
          <w:szCs w:val="21"/>
        </w:rPr>
        <w:t>晚期或转移性肿瘤时或之后的肿瘤组织样本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通过如血液学、肾功能、肝功能、凝血功能检查且确定符合试验要求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目前无生育计划，且在试验期间同意避孕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；</w:t>
      </w:r>
    </w:p>
    <w:p>
      <w:pPr>
        <w:pStyle w:val="6"/>
        <w:numPr>
          <w:ilvl w:val="0"/>
          <w:numId w:val="1"/>
        </w:numPr>
        <w:spacing w:line="276" w:lineRule="auto"/>
        <w:ind w:firstLineChars="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试验规定的其他条件。</w:t>
      </w:r>
    </w:p>
    <w:p>
      <w:pPr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Cs/>
          <w:szCs w:val="21"/>
        </w:rPr>
        <w:t>若您考虑参加本研究或咨询具体信息，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请您联系研究医生进行了解沟通。是否符合研究人群要求需要进行一系列的检查评估，结合研究</w:t>
      </w:r>
      <w:r>
        <w:rPr>
          <w:rFonts w:ascii="Times New Roman" w:hAnsi="Times New Roman" w:cs="Times New Roman"/>
          <w:szCs w:val="21"/>
          <w:shd w:val="clear" w:color="auto" w:fill="FFFFFF"/>
        </w:rPr>
        <w:t>医生的综合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判断</w:t>
      </w:r>
      <w:r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>
      <w:pPr>
        <w:ind w:firstLine="0" w:firstLineChars="0"/>
        <w:rPr>
          <w:rFonts w:ascii="Times New Roman" w:hAnsi="Times New Roman" w:cs="Times New Roman"/>
          <w:szCs w:val="21"/>
          <w:shd w:val="clear" w:color="auto" w:fill="FFFFFF"/>
        </w:rPr>
      </w:pPr>
    </w:p>
    <w:p>
      <w:pPr>
        <w:ind w:firstLine="420" w:firstLineChars="200"/>
        <w:rPr>
          <w:rFonts w:ascii="Times New Roman" w:hAnsi="Times New Roman" w:cs="Times New Roman"/>
          <w:szCs w:val="21"/>
          <w:shd w:val="clear" w:color="auto" w:fill="FFFFFF"/>
        </w:rPr>
      </w:pPr>
    </w:p>
    <w:p>
      <w:pPr>
        <w:wordWrap w:val="0"/>
        <w:spacing w:line="276" w:lineRule="auto"/>
        <w:jc w:val="right"/>
        <w:rPr>
          <w:rFonts w:hint="default" w:ascii="Times New Roman" w:hAnsi="Times New Roman" w:cs="Times New Roman"/>
          <w:color w:val="333333"/>
          <w:szCs w:val="21"/>
          <w:shd w:val="clear" w:color="auto" w:fill="FFFFFF"/>
          <w:lang w:val="en-US"/>
        </w:rPr>
      </w:pPr>
      <w:bookmarkStart w:id="0" w:name="_Hlk522044404"/>
      <w:r>
        <w:rPr>
          <w:rFonts w:hint="eastAsia" w:cs="Arial" w:asciiTheme="minorEastAsia" w:hAnsiTheme="minorEastAsia"/>
          <w:color w:val="333333"/>
          <w:szCs w:val="21"/>
          <w:shd w:val="clear" w:color="auto" w:fill="FFFFFF"/>
        </w:rPr>
        <w:t xml:space="preserve">      </w:t>
      </w: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>研究科室：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</w:t>
      </w:r>
    </w:p>
    <w:p>
      <w:pPr>
        <w:wordWrap w:val="0"/>
        <w:spacing w:line="276" w:lineRule="auto"/>
        <w:jc w:val="right"/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>联系时间：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</w:t>
      </w:r>
    </w:p>
    <w:p>
      <w:pPr>
        <w:wordWrap w:val="0"/>
        <w:spacing w:line="276" w:lineRule="auto"/>
        <w:jc w:val="right"/>
        <w:rPr>
          <w:rFonts w:ascii="Times New Roman" w:hAnsi="Times New Roman" w:cs="Times New Roman"/>
          <w:color w:val="333333"/>
          <w:szCs w:val="21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color w:val="333333"/>
          <w:szCs w:val="21"/>
          <w:shd w:val="clear" w:color="auto" w:fill="FFFFFF"/>
        </w:rPr>
        <w:t>联系电话：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cs="Times New Roman"/>
          <w:color w:val="333333"/>
          <w:szCs w:val="21"/>
          <w:u w:val="single"/>
          <w:shd w:val="clear" w:color="auto" w:fill="FFFFFF"/>
          <w:lang w:val="en-US" w:eastAsia="zh-CN"/>
        </w:rPr>
        <w:t xml:space="preserve">    </w:t>
      </w:r>
    </w:p>
    <w:p>
      <w:pPr>
        <w:wordWrap w:val="0"/>
        <w:spacing w:line="276" w:lineRule="auto"/>
        <w:jc w:val="right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注：此招募广告使用范围：医院</w:t>
      </w:r>
      <w:r>
        <w:rPr>
          <w:rFonts w:hint="eastAsia"/>
          <w:lang w:val="en-US" w:eastAsia="zh-CN"/>
        </w:rPr>
        <w:t>内部</w:t>
      </w:r>
      <w:r>
        <w:rPr>
          <w:rFonts w:hint="eastAsia"/>
        </w:rPr>
        <w:t>。</w:t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此招募广告发布形式：线上：医院官网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hint="eastAsia"/>
          <w:lang w:val="en-US" w:eastAsia="zh-CN"/>
        </w:rPr>
        <w:t xml:space="preserve">                    线下：广告、海报、易拉宝。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版本号：Master V</w:t>
    </w:r>
    <w:r>
      <w:rPr>
        <w:rFonts w:hint="eastAsia" w:ascii="Times New Roman" w:hAnsi="Times New Roman" w:cs="Times New Roman"/>
        <w:lang w:val="en-US" w:eastAsia="zh-CN"/>
      </w:rPr>
      <w:t>2.1</w:t>
    </w:r>
    <w:r>
      <w:rPr>
        <w:rFonts w:hint="eastAsia" w:ascii="Times New Roman" w:hAnsi="Times New Roman" w:cs="Times New Roman"/>
        <w:lang w:eastAsia="zh-CN"/>
      </w:rPr>
      <w:t>，</w:t>
    </w:r>
    <w:r>
      <w:rPr>
        <w:rFonts w:hint="eastAsia" w:ascii="Times New Roman" w:hAnsi="Times New Roman" w:cs="Times New Roman"/>
        <w:lang w:val="en-US" w:eastAsia="zh-CN"/>
      </w:rPr>
      <w:t>Site10</w:t>
    </w:r>
    <w:bookmarkStart w:id="1" w:name="_GoBack"/>
    <w:bookmarkEnd w:id="1"/>
    <w:r>
      <w:rPr>
        <w:rFonts w:hint="eastAsia" w:ascii="Times New Roman" w:hAnsi="Times New Roman" w:cs="Times New Roman"/>
        <w:lang w:val="en-US" w:eastAsia="zh-CN"/>
      </w:rPr>
      <w:t>05 V2.1</w:t>
    </w:r>
    <w:r>
      <w:rPr>
        <w:rFonts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</w:rPr>
      <w:t xml:space="preserve">                                版本日期： </w:t>
    </w:r>
    <w:r>
      <w:rPr>
        <w:rFonts w:ascii="Times New Roman" w:hAnsi="Times New Roman" w:cs="Times New Roman"/>
      </w:rPr>
      <w:t>202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hint="eastAsia" w:ascii="Times New Roman" w:hAnsi="Times New Roman" w:cs="Times New Roman"/>
      </w:rPr>
      <w:t>年</w:t>
    </w:r>
    <w:r>
      <w:rPr>
        <w:rFonts w:hint="eastAsia" w:ascii="Times New Roman" w:hAnsi="Times New Roman" w:cs="Times New Roman"/>
        <w:lang w:val="en-US" w:eastAsia="zh-CN"/>
      </w:rPr>
      <w:t>01</w:t>
    </w:r>
    <w:r>
      <w:rPr>
        <w:rFonts w:hint="eastAsia" w:ascii="Times New Roman" w:hAnsi="Times New Roman" w:cs="Times New Roman"/>
      </w:rPr>
      <w:t>月</w:t>
    </w:r>
    <w:r>
      <w:rPr>
        <w:rFonts w:hint="eastAsia" w:ascii="Times New Roman" w:hAnsi="Times New Roman" w:cs="Times New Roman"/>
        <w:lang w:val="en-US" w:eastAsia="zh-CN"/>
      </w:rPr>
      <w:t>23</w:t>
    </w:r>
    <w:r>
      <w:rPr>
        <w:rFonts w:hint="eastAsia" w:ascii="Times New Roman" w:hAnsi="Times New Roman" w:cs="Times New Roman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</w:rPr>
      <w:t>方案编号：</w:t>
    </w:r>
    <w:r>
      <w:rPr>
        <w:rFonts w:ascii="Times New Roman" w:hAnsi="Times New Roman" w:cs="Times New Roman"/>
      </w:rPr>
      <w:t>AK112-</w:t>
    </w:r>
    <w:r>
      <w:rPr>
        <w:rFonts w:hint="eastAsia" w:ascii="Times New Roman" w:hAnsi="Times New Roman" w:cs="Times New Roman"/>
        <w:lang w:val="en-US" w:eastAsia="zh-CN"/>
      </w:rPr>
      <w:t>208</w:t>
    </w:r>
    <w:r>
      <w:rPr>
        <w:rFonts w:ascii="Times New Roman" w:hAnsi="Times New Roman" w:cs="Times New Roman"/>
      </w:rPr>
      <w:t xml:space="preserve">                                            </w:t>
    </w:r>
    <w:r>
      <w:rPr>
        <w:rFonts w:hint="eastAsia" w:ascii="Times New Roman" w:hAnsi="Times New Roman" w:cs="Times New Roman"/>
        <w:lang w:val="en-US" w:eastAsia="zh-CN"/>
      </w:rPr>
      <w:t xml:space="preserve">     </w:t>
    </w:r>
    <w:r>
      <w:rPr>
        <w:rFonts w:hint="eastAsia" w:ascii="Times New Roman" w:hAnsi="Times New Roman" w:cs="Times New Roman"/>
      </w:rPr>
      <w:t>康方赛诺医药有限公司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A54A6"/>
    <w:multiLevelType w:val="multilevel"/>
    <w:tmpl w:val="77CA54A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YjY2MGQyNjU0YTE2OTY5OGZhNzk1YmQzNzdjZjUifQ=="/>
    <w:docVar w:name="KSO_WPS_MARK_KEY" w:val="1f4d9606-8175-4a99-b498-cf13ee4a3c09"/>
  </w:docVars>
  <w:rsids>
    <w:rsidRoot w:val="006F68CD"/>
    <w:rsid w:val="00017BC9"/>
    <w:rsid w:val="0003699D"/>
    <w:rsid w:val="00044430"/>
    <w:rsid w:val="00057F4B"/>
    <w:rsid w:val="00082793"/>
    <w:rsid w:val="000A4CA1"/>
    <w:rsid w:val="000C0271"/>
    <w:rsid w:val="000C2DC2"/>
    <w:rsid w:val="000D7102"/>
    <w:rsid w:val="000E2C57"/>
    <w:rsid w:val="00100529"/>
    <w:rsid w:val="001030F9"/>
    <w:rsid w:val="00150049"/>
    <w:rsid w:val="00157A2E"/>
    <w:rsid w:val="00161D0F"/>
    <w:rsid w:val="00166EBB"/>
    <w:rsid w:val="00187559"/>
    <w:rsid w:val="00194AAA"/>
    <w:rsid w:val="00196558"/>
    <w:rsid w:val="001A50C2"/>
    <w:rsid w:val="001A7376"/>
    <w:rsid w:val="001C7151"/>
    <w:rsid w:val="001D6F25"/>
    <w:rsid w:val="001D7D49"/>
    <w:rsid w:val="00202907"/>
    <w:rsid w:val="00205049"/>
    <w:rsid w:val="00205C29"/>
    <w:rsid w:val="002077DC"/>
    <w:rsid w:val="00221E6F"/>
    <w:rsid w:val="002466CD"/>
    <w:rsid w:val="002828D1"/>
    <w:rsid w:val="002861F5"/>
    <w:rsid w:val="002B7E1E"/>
    <w:rsid w:val="002C3788"/>
    <w:rsid w:val="002D254A"/>
    <w:rsid w:val="002F4C83"/>
    <w:rsid w:val="002F7DA0"/>
    <w:rsid w:val="00305A79"/>
    <w:rsid w:val="0034429B"/>
    <w:rsid w:val="003A1A3A"/>
    <w:rsid w:val="003A341E"/>
    <w:rsid w:val="003B0FB3"/>
    <w:rsid w:val="003B203F"/>
    <w:rsid w:val="003B2CD6"/>
    <w:rsid w:val="003D1A4A"/>
    <w:rsid w:val="003D4544"/>
    <w:rsid w:val="003F3442"/>
    <w:rsid w:val="003F56E4"/>
    <w:rsid w:val="0041316E"/>
    <w:rsid w:val="004208C4"/>
    <w:rsid w:val="00421452"/>
    <w:rsid w:val="00432697"/>
    <w:rsid w:val="00441FD0"/>
    <w:rsid w:val="004458DC"/>
    <w:rsid w:val="00457E4C"/>
    <w:rsid w:val="004750A3"/>
    <w:rsid w:val="00493602"/>
    <w:rsid w:val="004C631D"/>
    <w:rsid w:val="004D5DCB"/>
    <w:rsid w:val="005011E9"/>
    <w:rsid w:val="005247A5"/>
    <w:rsid w:val="00540CB3"/>
    <w:rsid w:val="00545771"/>
    <w:rsid w:val="00563A89"/>
    <w:rsid w:val="005878E8"/>
    <w:rsid w:val="005A4158"/>
    <w:rsid w:val="005A41E3"/>
    <w:rsid w:val="005B14EE"/>
    <w:rsid w:val="005B3AEE"/>
    <w:rsid w:val="00612CE6"/>
    <w:rsid w:val="0065199D"/>
    <w:rsid w:val="00667E4D"/>
    <w:rsid w:val="00683E85"/>
    <w:rsid w:val="006A7495"/>
    <w:rsid w:val="006B61D6"/>
    <w:rsid w:val="006E75F2"/>
    <w:rsid w:val="006F68CD"/>
    <w:rsid w:val="00732C29"/>
    <w:rsid w:val="007516A5"/>
    <w:rsid w:val="00776812"/>
    <w:rsid w:val="007B3D0F"/>
    <w:rsid w:val="007C126A"/>
    <w:rsid w:val="007D074D"/>
    <w:rsid w:val="007E4365"/>
    <w:rsid w:val="007E5CB5"/>
    <w:rsid w:val="007F4B89"/>
    <w:rsid w:val="00805191"/>
    <w:rsid w:val="00807289"/>
    <w:rsid w:val="008074E5"/>
    <w:rsid w:val="008215AF"/>
    <w:rsid w:val="00863751"/>
    <w:rsid w:val="008756C6"/>
    <w:rsid w:val="00891B29"/>
    <w:rsid w:val="008B6CE4"/>
    <w:rsid w:val="008D549A"/>
    <w:rsid w:val="008D5674"/>
    <w:rsid w:val="00902276"/>
    <w:rsid w:val="00921620"/>
    <w:rsid w:val="00930089"/>
    <w:rsid w:val="00933889"/>
    <w:rsid w:val="00935329"/>
    <w:rsid w:val="00962F66"/>
    <w:rsid w:val="009758A2"/>
    <w:rsid w:val="009B22CD"/>
    <w:rsid w:val="009B5EE8"/>
    <w:rsid w:val="009C6BBD"/>
    <w:rsid w:val="009E6D41"/>
    <w:rsid w:val="009F31E1"/>
    <w:rsid w:val="009F3DB2"/>
    <w:rsid w:val="009F7CF6"/>
    <w:rsid w:val="00A2270F"/>
    <w:rsid w:val="00A43D7B"/>
    <w:rsid w:val="00A52D02"/>
    <w:rsid w:val="00A779C2"/>
    <w:rsid w:val="00A857FC"/>
    <w:rsid w:val="00A9686C"/>
    <w:rsid w:val="00AA23B4"/>
    <w:rsid w:val="00AA7B9C"/>
    <w:rsid w:val="00AC531C"/>
    <w:rsid w:val="00AC572E"/>
    <w:rsid w:val="00AC5B22"/>
    <w:rsid w:val="00AD62C0"/>
    <w:rsid w:val="00AE1976"/>
    <w:rsid w:val="00AF4FBC"/>
    <w:rsid w:val="00B05B26"/>
    <w:rsid w:val="00B107AB"/>
    <w:rsid w:val="00B13BC7"/>
    <w:rsid w:val="00B51668"/>
    <w:rsid w:val="00B54EAE"/>
    <w:rsid w:val="00B7151E"/>
    <w:rsid w:val="00B777E0"/>
    <w:rsid w:val="00B86A08"/>
    <w:rsid w:val="00B91B83"/>
    <w:rsid w:val="00B93220"/>
    <w:rsid w:val="00BA2604"/>
    <w:rsid w:val="00BB4751"/>
    <w:rsid w:val="00BC75C0"/>
    <w:rsid w:val="00BD0778"/>
    <w:rsid w:val="00BD431F"/>
    <w:rsid w:val="00C10535"/>
    <w:rsid w:val="00C11BE1"/>
    <w:rsid w:val="00C20AD1"/>
    <w:rsid w:val="00C22675"/>
    <w:rsid w:val="00C31030"/>
    <w:rsid w:val="00C40556"/>
    <w:rsid w:val="00C57B83"/>
    <w:rsid w:val="00C6712C"/>
    <w:rsid w:val="00C9347F"/>
    <w:rsid w:val="00C93965"/>
    <w:rsid w:val="00C967F6"/>
    <w:rsid w:val="00CC4D7C"/>
    <w:rsid w:val="00CE1FE3"/>
    <w:rsid w:val="00CF5C4A"/>
    <w:rsid w:val="00D436BF"/>
    <w:rsid w:val="00D45F79"/>
    <w:rsid w:val="00D6426C"/>
    <w:rsid w:val="00D81893"/>
    <w:rsid w:val="00DA4ED5"/>
    <w:rsid w:val="00DB5128"/>
    <w:rsid w:val="00DC31A6"/>
    <w:rsid w:val="00DE0417"/>
    <w:rsid w:val="00DE09A9"/>
    <w:rsid w:val="00E11E19"/>
    <w:rsid w:val="00E219C7"/>
    <w:rsid w:val="00E37442"/>
    <w:rsid w:val="00E50B41"/>
    <w:rsid w:val="00E50EC4"/>
    <w:rsid w:val="00E569D7"/>
    <w:rsid w:val="00E76591"/>
    <w:rsid w:val="00E86EA4"/>
    <w:rsid w:val="00ED51CA"/>
    <w:rsid w:val="00F04DAA"/>
    <w:rsid w:val="00F43CFE"/>
    <w:rsid w:val="00F53E8E"/>
    <w:rsid w:val="00F53FBA"/>
    <w:rsid w:val="00F55D92"/>
    <w:rsid w:val="00F5633D"/>
    <w:rsid w:val="00F76996"/>
    <w:rsid w:val="00F86280"/>
    <w:rsid w:val="00FA0E65"/>
    <w:rsid w:val="00FB2742"/>
    <w:rsid w:val="00FC1379"/>
    <w:rsid w:val="00FC7573"/>
    <w:rsid w:val="00FD1EF6"/>
    <w:rsid w:val="00FE1995"/>
    <w:rsid w:val="00FE2E12"/>
    <w:rsid w:val="00FF0668"/>
    <w:rsid w:val="0F9C248F"/>
    <w:rsid w:val="114D30DD"/>
    <w:rsid w:val="15FB032D"/>
    <w:rsid w:val="1B7A228B"/>
    <w:rsid w:val="20A048C1"/>
    <w:rsid w:val="23817A77"/>
    <w:rsid w:val="241A3CD1"/>
    <w:rsid w:val="26A51070"/>
    <w:rsid w:val="27CE5E37"/>
    <w:rsid w:val="28E205F7"/>
    <w:rsid w:val="2F6C3C89"/>
    <w:rsid w:val="303C291A"/>
    <w:rsid w:val="3BFF14D1"/>
    <w:rsid w:val="3CA6168B"/>
    <w:rsid w:val="566C513E"/>
    <w:rsid w:val="5F797609"/>
    <w:rsid w:val="62E37824"/>
    <w:rsid w:val="658533F2"/>
    <w:rsid w:val="69DD6689"/>
    <w:rsid w:val="6BB90874"/>
    <w:rsid w:val="7C54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标题 字符"/>
    <w:basedOn w:val="10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fontstyle01"/>
    <w:basedOn w:val="10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  <w:style w:type="character" w:customStyle="1" w:styleId="19">
    <w:name w:val="fontstyle11"/>
    <w:basedOn w:val="10"/>
    <w:qFormat/>
    <w:uiPriority w:val="0"/>
    <w:rPr>
      <w:rFonts w:ascii="宋体" w:hAnsi="宋体" w:eastAsia="宋体" w:cs="宋体"/>
      <w:color w:val="000000"/>
      <w:sz w:val="24"/>
      <w:szCs w:val="24"/>
    </w:rPr>
  </w:style>
  <w:style w:type="character" w:customStyle="1" w:styleId="20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820</Words>
  <Characters>966</Characters>
  <Lines>5</Lines>
  <Paragraphs>1</Paragraphs>
  <TotalTime>3</TotalTime>
  <ScaleCrop>false</ScaleCrop>
  <LinksUpToDate>false</LinksUpToDate>
  <CharactersWithSpaces>1030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2019-12-03T03:59:00Z</dcterms:created>
  <dc:creator>123</dc:creator>
  <cp:lastModifiedBy>chenyuqi</cp:lastModifiedBy>
  <cp:lastPrinted>2020-09-19T10:06:00Z</cp:lastPrinted>
  <dcterms:modified xsi:type="dcterms:W3CDTF">2024-02-26T01:50:46Z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DD4E8678DFE54DED8A73677E433165B2</vt:lpwstr>
  </property>
</Properties>
</file>